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022B6F" w:rsidRDefault="00022B6F">
      <w:pPr>
        <w:rPr>
          <w:rFonts w:ascii="Times New Roman" w:hAnsi="Times New Roman" w:cs="Times New Roman"/>
          <w:i/>
          <w:sz w:val="32"/>
          <w:szCs w:val="32"/>
        </w:rPr>
      </w:pPr>
      <w:r w:rsidRPr="00022B6F">
        <w:rPr>
          <w:rFonts w:ascii="Times New Roman" w:hAnsi="Times New Roman" w:cs="Times New Roman"/>
          <w:i/>
          <w:sz w:val="32"/>
          <w:szCs w:val="32"/>
        </w:rPr>
        <w:t>Typen maatschappelijke problemen</w:t>
      </w:r>
    </w:p>
    <w:p w:rsidR="00022B6F" w:rsidRDefault="00022B6F"/>
    <w:p w:rsidR="00022B6F" w:rsidRPr="00022B6F" w:rsidRDefault="00022B6F" w:rsidP="00022B6F">
      <w:pPr>
        <w:rPr>
          <w:rFonts w:ascii="Times New Roman" w:eastAsia="Times New Roman" w:hAnsi="Times New Roman" w:cs="Times New Roman"/>
          <w:lang w:eastAsia="nl-NL"/>
        </w:rPr>
      </w:pPr>
      <w:r w:rsidRPr="00022B6F">
        <w:rPr>
          <w:rFonts w:ascii="Times New Roman" w:eastAsia="Times New Roman" w:hAnsi="Times New Roman" w:cs="Times New Roman"/>
          <w:lang w:eastAsia="nl-NL"/>
        </w:rPr>
        <w:t xml:space="preserve">Op basis van de factoren uit de formule -verwachtingen, waarden, de waargenomen en de gewenste toestand- kunnen vier typen maatschappelijke problemen onderscheiden worden: </w:t>
      </w:r>
    </w:p>
    <w:p w:rsidR="00022B6F" w:rsidRPr="00022B6F" w:rsidRDefault="00022B6F" w:rsidP="00022B6F">
      <w:pPr>
        <w:spacing w:line="120" w:lineRule="auto"/>
        <w:rPr>
          <w:rFonts w:ascii="Times New Roman" w:eastAsia="Times New Roman" w:hAnsi="Times New Roman" w:cs="Times New Roman"/>
          <w:lang w:eastAsia="nl-NL"/>
        </w:rPr>
      </w:pPr>
    </w:p>
    <w:p w:rsidR="00022B6F" w:rsidRPr="00022B6F" w:rsidRDefault="00022B6F" w:rsidP="00022B6F">
      <w:pPr>
        <w:numPr>
          <w:ilvl w:val="0"/>
          <w:numId w:val="1"/>
        </w:numPr>
        <w:tabs>
          <w:tab w:val="num" w:pos="426"/>
        </w:tabs>
        <w:spacing w:after="200" w:line="276" w:lineRule="auto"/>
        <w:ind w:left="426"/>
        <w:rPr>
          <w:rFonts w:ascii="Times New Roman" w:eastAsia="Times New Roman" w:hAnsi="Times New Roman" w:cs="Times New Roman"/>
          <w:color w:val="333333"/>
          <w:lang w:eastAsia="nl-NL"/>
        </w:rPr>
      </w:pPr>
      <w:r w:rsidRPr="00022B6F">
        <w:rPr>
          <w:rFonts w:ascii="Times New Roman" w:eastAsia="Times New Roman" w:hAnsi="Times New Roman" w:cs="Times New Roman"/>
          <w:lang w:eastAsia="nl-NL"/>
        </w:rPr>
        <w:t>maatschappelijke problemen die te maken hebben met veiligheid, risico’s en risicoperceptie, waarbij de waargenomen toestand (</w:t>
      </w:r>
      <w:proofErr w:type="spellStart"/>
      <w:r w:rsidRPr="00022B6F">
        <w:rPr>
          <w:rFonts w:ascii="Times New Roman" w:eastAsia="Times New Roman" w:hAnsi="Times New Roman" w:cs="Times New Roman"/>
          <w:lang w:eastAsia="nl-NL"/>
        </w:rPr>
        <w:t>Tw</w:t>
      </w:r>
      <w:r w:rsidRPr="00022B6F">
        <w:rPr>
          <w:rFonts w:ascii="Times New Roman" w:eastAsia="Times New Roman" w:hAnsi="Times New Roman" w:cs="Times New Roman"/>
          <w:vertAlign w:val="subscript"/>
          <w:lang w:eastAsia="nl-NL"/>
        </w:rPr>
        <w:t>ij</w:t>
      </w:r>
      <w:proofErr w:type="spellEnd"/>
      <w:r w:rsidRPr="00022B6F">
        <w:rPr>
          <w:rFonts w:ascii="Times New Roman" w:eastAsia="Times New Roman" w:hAnsi="Times New Roman" w:cs="Times New Roman"/>
          <w:vertAlign w:val="subscript"/>
          <w:lang w:eastAsia="nl-NL"/>
        </w:rPr>
        <w:t xml:space="preserve"> </w:t>
      </w:r>
      <w:r w:rsidRPr="00022B6F">
        <w:rPr>
          <w:rFonts w:ascii="Times New Roman" w:eastAsia="Times New Roman" w:hAnsi="Times New Roman" w:cs="Times New Roman"/>
          <w:lang w:eastAsia="nl-NL"/>
        </w:rPr>
        <w:t xml:space="preserve">) als referentie in de formule fungeert en geborgenheid, zekerheid en veiligheid dominante waarden zijn: </w:t>
      </w:r>
      <w:r w:rsidRPr="00022B6F">
        <w:rPr>
          <w:rFonts w:ascii="Times New Roman" w:eastAsia="Times New Roman" w:hAnsi="Times New Roman" w:cs="Times New Roman"/>
          <w:i/>
          <w:lang w:eastAsia="nl-NL"/>
        </w:rPr>
        <w:t>risico- en veiligheidsvraagstukken</w:t>
      </w:r>
      <w:r w:rsidRPr="00022B6F">
        <w:rPr>
          <w:rFonts w:ascii="Times New Roman" w:eastAsia="Times New Roman" w:hAnsi="Times New Roman" w:cs="Times New Roman"/>
          <w:lang w:eastAsia="nl-NL"/>
        </w:rPr>
        <w:t xml:space="preserve">. </w:t>
      </w:r>
    </w:p>
    <w:p w:rsidR="00022B6F" w:rsidRPr="00022B6F" w:rsidRDefault="00022B6F" w:rsidP="00022B6F">
      <w:pPr>
        <w:numPr>
          <w:ilvl w:val="0"/>
          <w:numId w:val="1"/>
        </w:numPr>
        <w:tabs>
          <w:tab w:val="num" w:pos="426"/>
        </w:tabs>
        <w:spacing w:after="200" w:line="276" w:lineRule="auto"/>
        <w:ind w:left="426"/>
        <w:rPr>
          <w:rFonts w:ascii="Times New Roman" w:eastAsia="Times New Roman" w:hAnsi="Times New Roman" w:cs="Times New Roman"/>
          <w:color w:val="333333"/>
          <w:lang w:eastAsia="nl-NL"/>
        </w:rPr>
      </w:pPr>
      <w:r w:rsidRPr="00022B6F">
        <w:rPr>
          <w:rFonts w:ascii="Times New Roman" w:eastAsia="Times New Roman" w:hAnsi="Times New Roman" w:cs="Times New Roman"/>
          <w:lang w:eastAsia="nl-NL"/>
        </w:rPr>
        <w:t>maatschappelijke problemen die te maken hebben met ethische normen, morele vragen, levensbeschouwing en existentiële vragen. Normatieve kwesties manifesteren zich daarbij in de hoedanigheid van waarden (</w:t>
      </w:r>
      <w:proofErr w:type="spellStart"/>
      <w:r w:rsidRPr="00022B6F">
        <w:rPr>
          <w:rFonts w:ascii="Times New Roman" w:eastAsia="Times New Roman" w:hAnsi="Times New Roman" w:cs="Times New Roman"/>
          <w:lang w:eastAsia="nl-NL"/>
        </w:rPr>
        <w:t>W</w:t>
      </w:r>
      <w:r w:rsidRPr="00022B6F">
        <w:rPr>
          <w:rFonts w:ascii="Times New Roman" w:eastAsia="Times New Roman" w:hAnsi="Times New Roman" w:cs="Times New Roman"/>
          <w:vertAlign w:val="subscript"/>
          <w:lang w:eastAsia="nl-NL"/>
        </w:rPr>
        <w:t>i</w:t>
      </w:r>
      <w:proofErr w:type="spellEnd"/>
      <w:r w:rsidRPr="00022B6F">
        <w:rPr>
          <w:rFonts w:ascii="Times New Roman" w:eastAsia="Times New Roman" w:hAnsi="Times New Roman" w:cs="Times New Roman"/>
          <w:lang w:eastAsia="nl-NL"/>
        </w:rPr>
        <w:t xml:space="preserve">) die als referentie in de formule fungeren. Daarbij zijn gelijkheid (in juridische termen het gelijkheidsbeginsel) en vrijheid (van godsdienst) dominante waarden, die soms met elkaar in strijd zijn. Deze vragen vallen onder de noemer </w:t>
      </w:r>
      <w:r w:rsidRPr="00022B6F">
        <w:rPr>
          <w:rFonts w:ascii="Times New Roman" w:eastAsia="Times New Roman" w:hAnsi="Times New Roman" w:cs="Times New Roman"/>
          <w:i/>
          <w:lang w:eastAsia="nl-NL"/>
        </w:rPr>
        <w:t>symbolische vraagstukken</w:t>
      </w:r>
      <w:r w:rsidRPr="00022B6F">
        <w:rPr>
          <w:rFonts w:ascii="Times New Roman" w:eastAsia="Times New Roman" w:hAnsi="Times New Roman" w:cs="Times New Roman"/>
          <w:lang w:eastAsia="nl-NL"/>
        </w:rPr>
        <w:t>;</w:t>
      </w:r>
    </w:p>
    <w:p w:rsidR="00022B6F" w:rsidRPr="00022B6F" w:rsidRDefault="00022B6F" w:rsidP="00022B6F">
      <w:pPr>
        <w:numPr>
          <w:ilvl w:val="0"/>
          <w:numId w:val="1"/>
        </w:numPr>
        <w:tabs>
          <w:tab w:val="num" w:pos="426"/>
        </w:tabs>
        <w:spacing w:after="200" w:line="276" w:lineRule="auto"/>
        <w:ind w:left="426"/>
        <w:rPr>
          <w:rFonts w:ascii="Times New Roman" w:eastAsia="Times New Roman" w:hAnsi="Times New Roman" w:cs="Times New Roman"/>
          <w:color w:val="333333"/>
          <w:lang w:eastAsia="nl-NL"/>
        </w:rPr>
      </w:pPr>
      <w:r w:rsidRPr="00022B6F">
        <w:rPr>
          <w:rFonts w:ascii="Times New Roman" w:eastAsia="Times New Roman" w:hAnsi="Times New Roman" w:cs="Times New Roman"/>
          <w:lang w:eastAsia="nl-NL"/>
        </w:rPr>
        <w:t>maatschappelijke problemen die te maken hebben met verdelingsvraagstukken, waarbij de gewenste toestand (</w:t>
      </w:r>
      <w:proofErr w:type="spellStart"/>
      <w:r w:rsidRPr="00022B6F">
        <w:rPr>
          <w:rFonts w:ascii="Times New Roman" w:eastAsia="Times New Roman" w:hAnsi="Times New Roman" w:cs="Times New Roman"/>
          <w:lang w:eastAsia="nl-NL"/>
        </w:rPr>
        <w:t>Tg</w:t>
      </w:r>
      <w:r w:rsidRPr="00022B6F">
        <w:rPr>
          <w:rFonts w:ascii="Times New Roman" w:eastAsia="Times New Roman" w:hAnsi="Times New Roman" w:cs="Times New Roman"/>
          <w:vertAlign w:val="subscript"/>
          <w:lang w:eastAsia="nl-NL"/>
        </w:rPr>
        <w:t>ij</w:t>
      </w:r>
      <w:proofErr w:type="spellEnd"/>
      <w:r w:rsidRPr="00022B6F">
        <w:rPr>
          <w:rFonts w:ascii="Times New Roman" w:eastAsia="Times New Roman" w:hAnsi="Times New Roman" w:cs="Times New Roman"/>
          <w:vertAlign w:val="subscript"/>
          <w:lang w:eastAsia="nl-NL"/>
        </w:rPr>
        <w:t xml:space="preserve"> </w:t>
      </w:r>
      <w:r w:rsidRPr="00022B6F">
        <w:rPr>
          <w:rFonts w:ascii="Times New Roman" w:eastAsia="Times New Roman" w:hAnsi="Times New Roman" w:cs="Times New Roman"/>
          <w:lang w:eastAsia="nl-NL"/>
        </w:rPr>
        <w:t xml:space="preserve">) als referentie in de formule fungeert en rechtvaardigheid en gelijkheid dominante waarden zijn: </w:t>
      </w:r>
      <w:r w:rsidRPr="00022B6F">
        <w:rPr>
          <w:rFonts w:ascii="Times New Roman" w:eastAsia="Times New Roman" w:hAnsi="Times New Roman" w:cs="Times New Roman"/>
          <w:i/>
          <w:lang w:eastAsia="nl-NL"/>
        </w:rPr>
        <w:t>verdelingsvraagstukken</w:t>
      </w:r>
      <w:r w:rsidRPr="00022B6F">
        <w:rPr>
          <w:rFonts w:ascii="Times New Roman" w:eastAsia="Times New Roman" w:hAnsi="Times New Roman" w:cs="Times New Roman"/>
          <w:lang w:eastAsia="nl-NL"/>
        </w:rPr>
        <w:t>.</w:t>
      </w:r>
    </w:p>
    <w:p w:rsidR="00022B6F" w:rsidRPr="00022B6F" w:rsidRDefault="00022B6F" w:rsidP="00022B6F">
      <w:pPr>
        <w:numPr>
          <w:ilvl w:val="0"/>
          <w:numId w:val="1"/>
        </w:numPr>
        <w:tabs>
          <w:tab w:val="num" w:pos="426"/>
        </w:tabs>
        <w:spacing w:after="200" w:line="276" w:lineRule="auto"/>
        <w:ind w:left="426"/>
        <w:rPr>
          <w:rFonts w:ascii="Times New Roman" w:eastAsia="Times New Roman" w:hAnsi="Times New Roman" w:cs="Times New Roman"/>
          <w:color w:val="333333"/>
          <w:lang w:eastAsia="nl-NL"/>
        </w:rPr>
      </w:pPr>
      <w:r w:rsidRPr="00022B6F">
        <w:rPr>
          <w:rFonts w:ascii="Times New Roman" w:eastAsia="Times New Roman" w:hAnsi="Times New Roman" w:cs="Times New Roman"/>
          <w:lang w:eastAsia="nl-NL"/>
        </w:rPr>
        <w:t xml:space="preserve">maatschappelijke problemen die te maken hebben met de wijze waarop de kwaliteiten van de sociale en fysieke omgeving zich manifesteren en ervaren worden </w:t>
      </w:r>
      <w:proofErr w:type="gramStart"/>
      <w:r w:rsidRPr="00022B6F">
        <w:rPr>
          <w:rFonts w:ascii="Times New Roman" w:eastAsia="Times New Roman" w:hAnsi="Times New Roman" w:cs="Times New Roman"/>
          <w:lang w:eastAsia="nl-NL"/>
        </w:rPr>
        <w:t>alsmede</w:t>
      </w:r>
      <w:proofErr w:type="gramEnd"/>
      <w:r w:rsidRPr="00022B6F">
        <w:rPr>
          <w:rFonts w:ascii="Times New Roman" w:eastAsia="Times New Roman" w:hAnsi="Times New Roman" w:cs="Times New Roman"/>
          <w:lang w:eastAsia="nl-NL"/>
        </w:rPr>
        <w:t xml:space="preserve"> de verhouding tussen de korte en de lange termijn, in het bijzonder de wijze waarop de sociale en fysieke omgeving evolueren. Daarbij fungeren individuele en collectieve verwachtingen (</w:t>
      </w:r>
      <w:proofErr w:type="spellStart"/>
      <w:r w:rsidRPr="00022B6F">
        <w:rPr>
          <w:rFonts w:ascii="Times New Roman" w:eastAsia="Times New Roman" w:hAnsi="Times New Roman" w:cs="Times New Roman"/>
          <w:lang w:eastAsia="nl-NL"/>
        </w:rPr>
        <w:t>rising</w:t>
      </w:r>
      <w:proofErr w:type="spellEnd"/>
      <w:r w:rsidRPr="00022B6F">
        <w:rPr>
          <w:rFonts w:ascii="Times New Roman" w:eastAsia="Times New Roman" w:hAnsi="Times New Roman" w:cs="Times New Roman"/>
          <w:lang w:eastAsia="nl-NL"/>
        </w:rPr>
        <w:t xml:space="preserve"> </w:t>
      </w:r>
      <w:proofErr w:type="spellStart"/>
      <w:r w:rsidRPr="00022B6F">
        <w:rPr>
          <w:rFonts w:ascii="Times New Roman" w:eastAsia="Times New Roman" w:hAnsi="Times New Roman" w:cs="Times New Roman"/>
          <w:lang w:eastAsia="nl-NL"/>
        </w:rPr>
        <w:t>expectations</w:t>
      </w:r>
      <w:proofErr w:type="spellEnd"/>
      <w:r w:rsidRPr="00022B6F">
        <w:rPr>
          <w:rFonts w:ascii="Times New Roman" w:eastAsia="Times New Roman" w:hAnsi="Times New Roman" w:cs="Times New Roman"/>
          <w:lang w:eastAsia="nl-NL"/>
        </w:rPr>
        <w:t xml:space="preserve">) </w:t>
      </w:r>
      <w:proofErr w:type="gramStart"/>
      <w:r w:rsidRPr="00022B6F">
        <w:rPr>
          <w:rFonts w:ascii="Times New Roman" w:eastAsia="Times New Roman" w:hAnsi="Times New Roman" w:cs="Times New Roman"/>
          <w:lang w:eastAsia="nl-NL"/>
        </w:rPr>
        <w:t>omtrent</w:t>
      </w:r>
      <w:proofErr w:type="gramEnd"/>
      <w:r w:rsidRPr="00022B6F">
        <w:rPr>
          <w:rFonts w:ascii="Times New Roman" w:eastAsia="Times New Roman" w:hAnsi="Times New Roman" w:cs="Times New Roman"/>
          <w:lang w:eastAsia="nl-NL"/>
        </w:rPr>
        <w:t xml:space="preserve"> de haalbaarheid (</w:t>
      </w:r>
      <w:proofErr w:type="spellStart"/>
      <w:r w:rsidRPr="00022B6F">
        <w:rPr>
          <w:rFonts w:ascii="Times New Roman" w:eastAsia="Times New Roman" w:hAnsi="Times New Roman" w:cs="Times New Roman"/>
          <w:lang w:eastAsia="nl-NL"/>
        </w:rPr>
        <w:t>Vh</w:t>
      </w:r>
      <w:r w:rsidRPr="00022B6F">
        <w:rPr>
          <w:rFonts w:ascii="Times New Roman" w:eastAsia="Times New Roman" w:hAnsi="Times New Roman" w:cs="Times New Roman"/>
          <w:vertAlign w:val="subscript"/>
          <w:lang w:eastAsia="nl-NL"/>
        </w:rPr>
        <w:t>ij</w:t>
      </w:r>
      <w:proofErr w:type="spellEnd"/>
      <w:r w:rsidRPr="00022B6F">
        <w:rPr>
          <w:rFonts w:ascii="Times New Roman" w:eastAsia="Times New Roman" w:hAnsi="Times New Roman" w:cs="Times New Roman"/>
          <w:lang w:eastAsia="nl-NL"/>
        </w:rPr>
        <w:t xml:space="preserve">) van het realiseren van een gewenste toestand als referentie in de formule. Omgevingskwaliteit is daarbij een dominante waarde is: </w:t>
      </w:r>
      <w:r w:rsidRPr="00022B6F">
        <w:rPr>
          <w:rFonts w:ascii="Times New Roman" w:eastAsia="Times New Roman" w:hAnsi="Times New Roman" w:cs="Times New Roman"/>
          <w:i/>
          <w:lang w:eastAsia="nl-NL"/>
        </w:rPr>
        <w:t>duurzaamheids- en omgevingsvraagstukken</w:t>
      </w:r>
      <w:r w:rsidRPr="00022B6F">
        <w:rPr>
          <w:rFonts w:ascii="Times New Roman" w:eastAsia="Times New Roman" w:hAnsi="Times New Roman" w:cs="Times New Roman"/>
          <w:lang w:eastAsia="nl-NL"/>
        </w:rPr>
        <w:t>.</w:t>
      </w:r>
    </w:p>
    <w:p w:rsidR="00022B6F" w:rsidRDefault="00022B6F"/>
    <w:p w:rsidR="00197C83" w:rsidRPr="00197C83" w:rsidRDefault="00197C83" w:rsidP="00197C83">
      <w:pPr>
        <w:rPr>
          <w:rFonts w:ascii="Times New Roman" w:eastAsia="Times New Roman" w:hAnsi="Times New Roman" w:cs="Times New Roman"/>
          <w:lang w:eastAsia="nl-NL"/>
        </w:rPr>
      </w:pPr>
      <w:proofErr w:type="gramStart"/>
      <w:r>
        <w:rPr>
          <w:rFonts w:ascii="Times New Roman" w:eastAsia="Times New Roman" w:hAnsi="Times New Roman" w:cs="Times New Roman"/>
          <w:b/>
          <w:lang w:eastAsia="nl-NL"/>
        </w:rPr>
        <w:t xml:space="preserve">Tabel </w:t>
      </w:r>
      <w:r w:rsidRPr="00197C83">
        <w:rPr>
          <w:rFonts w:ascii="Times New Roman" w:eastAsia="Times New Roman" w:hAnsi="Times New Roman" w:cs="Times New Roman"/>
          <w:b/>
          <w:lang w:eastAsia="nl-NL"/>
        </w:rPr>
        <w:t>:</w:t>
      </w:r>
      <w:proofErr w:type="gramEnd"/>
      <w:r w:rsidRPr="00197C83">
        <w:rPr>
          <w:rFonts w:ascii="Times New Roman" w:eastAsia="Times New Roman" w:hAnsi="Times New Roman" w:cs="Times New Roman"/>
          <w:lang w:eastAsia="nl-NL"/>
        </w:rPr>
        <w:t xml:space="preserve"> </w:t>
      </w:r>
      <w:r w:rsidRPr="00197C83">
        <w:rPr>
          <w:rFonts w:ascii="Times New Roman" w:eastAsia="Times New Roman" w:hAnsi="Times New Roman" w:cs="Times New Roman"/>
          <w:i/>
          <w:lang w:eastAsia="nl-NL"/>
        </w:rPr>
        <w:t>Vier schaalniveaus en vier typen maatschappelijke problemen</w:t>
      </w:r>
      <w:r>
        <w:rPr>
          <w:rFonts w:ascii="Times New Roman" w:eastAsia="Times New Roman" w:hAnsi="Times New Roman" w:cs="Times New Roman"/>
          <w:i/>
          <w:lang w:eastAsia="nl-NL"/>
        </w:rPr>
        <w:t>:</w:t>
      </w:r>
      <w:r w:rsidRPr="00197C83">
        <w:rPr>
          <w:rFonts w:ascii="Times New Roman" w:eastAsia="Times New Roman" w:hAnsi="Times New Roman" w:cs="Times New Roman"/>
          <w:i/>
          <w:lang w:eastAsia="nl-NL"/>
        </w:rPr>
        <w:t xml:space="preserve"> </w:t>
      </w:r>
      <w:r>
        <w:rPr>
          <w:rFonts w:ascii="Times New Roman" w:eastAsia="Times New Roman" w:hAnsi="Times New Roman" w:cs="Times New Roman"/>
          <w:i/>
          <w:lang w:eastAsia="nl-NL"/>
        </w:rPr>
        <w:t>zestien</w:t>
      </w:r>
      <w:r w:rsidRPr="00197C83">
        <w:rPr>
          <w:rFonts w:ascii="Times New Roman" w:eastAsia="Times New Roman" w:hAnsi="Times New Roman" w:cs="Times New Roman"/>
          <w:i/>
          <w:lang w:eastAsia="nl-NL"/>
        </w:rPr>
        <w:t xml:space="preserve"> combinaties.</w:t>
      </w:r>
    </w:p>
    <w:p w:rsidR="00197C83" w:rsidRPr="00197C83" w:rsidRDefault="00197C83" w:rsidP="00197C83">
      <w:pPr>
        <w:spacing w:line="120" w:lineRule="auto"/>
        <w:rPr>
          <w:rFonts w:ascii="Times New Roman" w:eastAsia="Times New Roman" w:hAnsi="Times New Roman" w:cs="Times New Roman"/>
          <w:lang w:eastAsia="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003"/>
        <w:gridCol w:w="1896"/>
        <w:gridCol w:w="2069"/>
        <w:gridCol w:w="2036"/>
      </w:tblGrid>
      <w:tr w:rsidR="00197C83" w:rsidRPr="00197C83" w:rsidTr="00C13F3E">
        <w:tc>
          <w:tcPr>
            <w:tcW w:w="1549" w:type="dxa"/>
            <w:tcBorders>
              <w:top w:val="double" w:sz="4" w:space="0" w:color="auto"/>
              <w:left w:val="double" w:sz="4" w:space="0" w:color="auto"/>
              <w:bottom w:val="single" w:sz="12" w:space="0" w:color="auto"/>
              <w:righ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p>
        </w:tc>
        <w:tc>
          <w:tcPr>
            <w:tcW w:w="2199" w:type="dxa"/>
            <w:tcBorders>
              <w:top w:val="double" w:sz="4" w:space="0" w:color="auto"/>
              <w:left w:val="single" w:sz="12" w:space="0" w:color="auto"/>
              <w:bottom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 xml:space="preserve">Risico- &amp; </w:t>
            </w:r>
            <w:proofErr w:type="spellStart"/>
            <w:r w:rsidRPr="00197C83">
              <w:rPr>
                <w:rFonts w:ascii="Times New Roman" w:eastAsia="Times New Roman" w:hAnsi="Times New Roman" w:cs="Times New Roman"/>
                <w:i/>
                <w:lang w:eastAsia="nl-NL"/>
              </w:rPr>
              <w:t>veilig-heidsvraagstukken</w:t>
            </w:r>
            <w:proofErr w:type="spellEnd"/>
          </w:p>
        </w:tc>
        <w:tc>
          <w:tcPr>
            <w:tcW w:w="1882" w:type="dxa"/>
            <w:tcBorders>
              <w:top w:val="double" w:sz="4" w:space="0" w:color="auto"/>
              <w:bottom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proofErr w:type="spellStart"/>
            <w:r w:rsidRPr="00197C83">
              <w:rPr>
                <w:rFonts w:ascii="Times New Roman" w:eastAsia="Times New Roman" w:hAnsi="Times New Roman" w:cs="Times New Roman"/>
                <w:i/>
                <w:lang w:eastAsia="nl-NL"/>
              </w:rPr>
              <w:t>Verdelingsvraag-stukken</w:t>
            </w:r>
            <w:proofErr w:type="spellEnd"/>
          </w:p>
        </w:tc>
        <w:tc>
          <w:tcPr>
            <w:tcW w:w="1566" w:type="dxa"/>
            <w:tcBorders>
              <w:top w:val="double" w:sz="4" w:space="0" w:color="auto"/>
              <w:bottom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Symbolische vraagstukken</w:t>
            </w:r>
          </w:p>
        </w:tc>
        <w:tc>
          <w:tcPr>
            <w:tcW w:w="2410" w:type="dxa"/>
            <w:tcBorders>
              <w:top w:val="double" w:sz="4" w:space="0" w:color="auto"/>
              <w:bottom w:val="single" w:sz="12" w:space="0" w:color="auto"/>
              <w:right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Duurzaamheid &amp; omgevingsvraag-stukken</w:t>
            </w:r>
          </w:p>
        </w:tc>
      </w:tr>
      <w:tr w:rsidR="00197C83" w:rsidRPr="00197C83" w:rsidTr="00C13F3E">
        <w:tc>
          <w:tcPr>
            <w:tcW w:w="1549" w:type="dxa"/>
            <w:tcBorders>
              <w:top w:val="single" w:sz="12" w:space="0" w:color="auto"/>
              <w:left w:val="double" w:sz="4" w:space="0" w:color="auto"/>
              <w:righ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Lokaal niveau</w:t>
            </w:r>
          </w:p>
        </w:tc>
        <w:tc>
          <w:tcPr>
            <w:tcW w:w="2199" w:type="dxa"/>
            <w:tcBorders>
              <w:top w:val="single" w:sz="12" w:space="0" w:color="auto"/>
              <w:lef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Bulgaarse en Roemeense zakkenrollers</w:t>
            </w:r>
          </w:p>
        </w:tc>
        <w:tc>
          <w:tcPr>
            <w:tcW w:w="1882" w:type="dxa"/>
            <w:tcBorders>
              <w:top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 xml:space="preserve">Vervanging </w:t>
            </w:r>
            <w:proofErr w:type="spellStart"/>
            <w:r w:rsidRPr="00197C83">
              <w:rPr>
                <w:rFonts w:ascii="Times New Roman" w:eastAsia="Times New Roman" w:hAnsi="Times New Roman" w:cs="Times New Roman"/>
                <w:lang w:eastAsia="nl-NL"/>
              </w:rPr>
              <w:t>Bij-enkorf</w:t>
            </w:r>
            <w:proofErr w:type="spellEnd"/>
            <w:r w:rsidRPr="00197C83">
              <w:rPr>
                <w:rFonts w:ascii="Times New Roman" w:eastAsia="Times New Roman" w:hAnsi="Times New Roman" w:cs="Times New Roman"/>
                <w:lang w:eastAsia="nl-NL"/>
              </w:rPr>
              <w:t xml:space="preserve"> filialen door </w:t>
            </w:r>
            <w:proofErr w:type="spellStart"/>
            <w:r w:rsidRPr="00197C83">
              <w:rPr>
                <w:rFonts w:ascii="Times New Roman" w:eastAsia="Times New Roman" w:hAnsi="Times New Roman" w:cs="Times New Roman"/>
                <w:lang w:eastAsia="nl-NL"/>
              </w:rPr>
              <w:t>Primak</w:t>
            </w:r>
            <w:proofErr w:type="spellEnd"/>
          </w:p>
        </w:tc>
        <w:tc>
          <w:tcPr>
            <w:tcW w:w="1566" w:type="dxa"/>
            <w:tcBorders>
              <w:top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Koopzondagen, bouw moskeeën, SGP vrouwen</w:t>
            </w:r>
          </w:p>
        </w:tc>
        <w:tc>
          <w:tcPr>
            <w:tcW w:w="2410" w:type="dxa"/>
            <w:tcBorders>
              <w:top w:val="single" w:sz="12" w:space="0" w:color="auto"/>
              <w:right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Rijn-Gouwe lijn, Rijnlandroute</w:t>
            </w:r>
          </w:p>
        </w:tc>
      </w:tr>
      <w:tr w:rsidR="00197C83" w:rsidRPr="00197C83" w:rsidTr="00C13F3E">
        <w:tc>
          <w:tcPr>
            <w:tcW w:w="1549" w:type="dxa"/>
            <w:tcBorders>
              <w:left w:val="double" w:sz="4" w:space="0" w:color="auto"/>
              <w:righ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Regionaal niveau</w:t>
            </w:r>
          </w:p>
        </w:tc>
        <w:tc>
          <w:tcPr>
            <w:tcW w:w="2199" w:type="dxa"/>
            <w:tcBorders>
              <w:lef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Proefboringen naar schaliegas</w:t>
            </w:r>
          </w:p>
        </w:tc>
        <w:tc>
          <w:tcPr>
            <w:tcW w:w="1882" w:type="dxa"/>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Nationale ijshal, thuiszorg</w:t>
            </w:r>
          </w:p>
        </w:tc>
        <w:tc>
          <w:tcPr>
            <w:tcW w:w="1566" w:type="dxa"/>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Damherten in waterleidingduinen</w:t>
            </w:r>
          </w:p>
        </w:tc>
        <w:tc>
          <w:tcPr>
            <w:tcW w:w="2410" w:type="dxa"/>
            <w:tcBorders>
              <w:right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Wolven in Nederland</w:t>
            </w:r>
          </w:p>
        </w:tc>
      </w:tr>
      <w:tr w:rsidR="00197C83" w:rsidRPr="00197C83" w:rsidTr="00C13F3E">
        <w:tc>
          <w:tcPr>
            <w:tcW w:w="1549" w:type="dxa"/>
            <w:tcBorders>
              <w:left w:val="double" w:sz="4" w:space="0" w:color="auto"/>
              <w:righ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Nationaal niveau</w:t>
            </w:r>
          </w:p>
        </w:tc>
        <w:tc>
          <w:tcPr>
            <w:tcW w:w="2199" w:type="dxa"/>
            <w:tcBorders>
              <w:lef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Terrorisme</w:t>
            </w:r>
          </w:p>
        </w:tc>
        <w:tc>
          <w:tcPr>
            <w:tcW w:w="1882" w:type="dxa"/>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Werkloosheid, uitkeringsfraude</w:t>
            </w:r>
          </w:p>
        </w:tc>
        <w:tc>
          <w:tcPr>
            <w:tcW w:w="1566" w:type="dxa"/>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Balkenende norm</w:t>
            </w:r>
          </w:p>
        </w:tc>
        <w:tc>
          <w:tcPr>
            <w:tcW w:w="2410" w:type="dxa"/>
            <w:tcBorders>
              <w:right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proofErr w:type="spellStart"/>
            <w:r w:rsidRPr="00197C83">
              <w:rPr>
                <w:rFonts w:ascii="Times New Roman" w:eastAsia="Times New Roman" w:hAnsi="Times New Roman" w:cs="Times New Roman"/>
                <w:lang w:eastAsia="nl-NL"/>
              </w:rPr>
              <w:t>Fijnstof</w:t>
            </w:r>
            <w:proofErr w:type="spellEnd"/>
            <w:r w:rsidRPr="00197C83">
              <w:rPr>
                <w:rFonts w:ascii="Times New Roman" w:eastAsia="Times New Roman" w:hAnsi="Times New Roman" w:cs="Times New Roman"/>
                <w:lang w:eastAsia="nl-NL"/>
              </w:rPr>
              <w:t xml:space="preserve"> door brommers</w:t>
            </w:r>
          </w:p>
        </w:tc>
      </w:tr>
      <w:tr w:rsidR="00197C83" w:rsidRPr="00197C83" w:rsidTr="00C13F3E">
        <w:tc>
          <w:tcPr>
            <w:tcW w:w="1549" w:type="dxa"/>
            <w:tcBorders>
              <w:left w:val="double" w:sz="4" w:space="0" w:color="auto"/>
              <w:bottom w:val="double" w:sz="4" w:space="0" w:color="auto"/>
              <w:right w:val="single" w:sz="12" w:space="0" w:color="auto"/>
            </w:tcBorders>
            <w:shd w:val="clear" w:color="auto" w:fill="auto"/>
            <w:vAlign w:val="center"/>
          </w:tcPr>
          <w:p w:rsidR="00197C83" w:rsidRPr="00197C83" w:rsidRDefault="00197C83" w:rsidP="00197C83">
            <w:pPr>
              <w:rPr>
                <w:rFonts w:ascii="Times New Roman" w:eastAsia="Times New Roman" w:hAnsi="Times New Roman" w:cs="Times New Roman"/>
                <w:i/>
                <w:lang w:eastAsia="nl-NL"/>
              </w:rPr>
            </w:pPr>
            <w:r w:rsidRPr="00197C83">
              <w:rPr>
                <w:rFonts w:ascii="Times New Roman" w:eastAsia="Times New Roman" w:hAnsi="Times New Roman" w:cs="Times New Roman"/>
                <w:i/>
                <w:lang w:eastAsia="nl-NL"/>
              </w:rPr>
              <w:t>Internationaal niveau</w:t>
            </w:r>
          </w:p>
        </w:tc>
        <w:tc>
          <w:tcPr>
            <w:tcW w:w="2199" w:type="dxa"/>
            <w:tcBorders>
              <w:left w:val="single" w:sz="12" w:space="0" w:color="auto"/>
              <w:bottom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 xml:space="preserve">Privacy, gifgas Syrië, </w:t>
            </w:r>
            <w:proofErr w:type="spellStart"/>
            <w:r w:rsidRPr="00197C83">
              <w:rPr>
                <w:rFonts w:ascii="Times New Roman" w:eastAsia="Times New Roman" w:hAnsi="Times New Roman" w:cs="Times New Roman"/>
                <w:lang w:eastAsia="nl-NL"/>
              </w:rPr>
              <w:t>groepsver-krachting</w:t>
            </w:r>
            <w:proofErr w:type="spellEnd"/>
            <w:r w:rsidRPr="00197C83">
              <w:rPr>
                <w:rFonts w:ascii="Times New Roman" w:eastAsia="Times New Roman" w:hAnsi="Times New Roman" w:cs="Times New Roman"/>
                <w:lang w:eastAsia="nl-NL"/>
              </w:rPr>
              <w:t xml:space="preserve"> India</w:t>
            </w:r>
          </w:p>
        </w:tc>
        <w:tc>
          <w:tcPr>
            <w:tcW w:w="1882" w:type="dxa"/>
            <w:tcBorders>
              <w:bottom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Euro, 3% norm, Zuid-Europa, banken</w:t>
            </w:r>
          </w:p>
        </w:tc>
        <w:tc>
          <w:tcPr>
            <w:tcW w:w="1566" w:type="dxa"/>
            <w:tcBorders>
              <w:bottom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Doping, homohuwelijk</w:t>
            </w:r>
          </w:p>
        </w:tc>
        <w:tc>
          <w:tcPr>
            <w:tcW w:w="2410" w:type="dxa"/>
            <w:tcBorders>
              <w:bottom w:val="double" w:sz="4" w:space="0" w:color="auto"/>
              <w:right w:val="double" w:sz="4" w:space="0" w:color="auto"/>
            </w:tcBorders>
            <w:shd w:val="clear" w:color="auto" w:fill="auto"/>
            <w:vAlign w:val="center"/>
          </w:tcPr>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Broeikasprobleem, smelten ijskappen</w:t>
            </w:r>
          </w:p>
          <w:p w:rsidR="00197C83" w:rsidRPr="00197C83" w:rsidRDefault="00197C83" w:rsidP="00197C83">
            <w:pPr>
              <w:rPr>
                <w:rFonts w:ascii="Times New Roman" w:eastAsia="Times New Roman" w:hAnsi="Times New Roman" w:cs="Times New Roman"/>
                <w:lang w:eastAsia="nl-NL"/>
              </w:rPr>
            </w:pPr>
            <w:r w:rsidRPr="00197C83">
              <w:rPr>
                <w:rFonts w:ascii="Times New Roman" w:eastAsia="Times New Roman" w:hAnsi="Times New Roman" w:cs="Times New Roman"/>
                <w:lang w:eastAsia="nl-NL"/>
              </w:rPr>
              <w:t>CO</w:t>
            </w:r>
            <w:r w:rsidRPr="00197C83">
              <w:rPr>
                <w:rFonts w:ascii="Times New Roman" w:eastAsia="Times New Roman" w:hAnsi="Times New Roman" w:cs="Times New Roman"/>
                <w:vertAlign w:val="superscript"/>
                <w:lang w:eastAsia="nl-NL"/>
              </w:rPr>
              <w:t>2</w:t>
            </w:r>
          </w:p>
        </w:tc>
      </w:tr>
    </w:tbl>
    <w:p w:rsidR="00022B6F" w:rsidRDefault="00022B6F" w:rsidP="00197C83">
      <w:bookmarkStart w:id="0" w:name="_GoBack"/>
      <w:bookmarkEnd w:id="0"/>
    </w:p>
    <w:sectPr w:rsidR="0002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04DF"/>
    <w:multiLevelType w:val="hybridMultilevel"/>
    <w:tmpl w:val="F73AFE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6F"/>
    <w:rsid w:val="00022B6F"/>
    <w:rsid w:val="00197C83"/>
    <w:rsid w:val="00604332"/>
    <w:rsid w:val="006C6359"/>
    <w:rsid w:val="008E7AED"/>
    <w:rsid w:val="009E4BD5"/>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2</cp:revision>
  <dcterms:created xsi:type="dcterms:W3CDTF">2014-04-04T14:42:00Z</dcterms:created>
  <dcterms:modified xsi:type="dcterms:W3CDTF">2014-04-04T14:46:00Z</dcterms:modified>
</cp:coreProperties>
</file>